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B5" w:rsidRPr="003C6243" w:rsidRDefault="004471B5" w:rsidP="004471B5">
      <w:pPr>
        <w:pStyle w:val="Level2Body"/>
      </w:pPr>
      <w:r w:rsidRPr="003763B4" w:rsidDel="0078521F">
        <w:t xml:space="preserve"> </w:t>
      </w:r>
      <w:r w:rsidRPr="003C6243">
        <w:t xml:space="preserve"> </w:t>
      </w:r>
      <w:r w:rsidRPr="003C6243">
        <w:fldChar w:fldCharType="begin"/>
      </w:r>
      <w:r w:rsidRPr="003C6243">
        <w:instrText>tc "FORM B INTENT TO RESPOND TO RFP"</w:instrText>
      </w:r>
      <w:r w:rsidRPr="003C6243">
        <w:fldChar w:fldCharType="end"/>
      </w:r>
    </w:p>
    <w:p w:rsidR="004471B5" w:rsidRPr="003C6243" w:rsidRDefault="004471B5" w:rsidP="004471B5">
      <w:pPr>
        <w:jc w:val="center"/>
        <w:outlineLvl w:val="0"/>
        <w:rPr>
          <w:b/>
          <w:bCs/>
          <w:sz w:val="24"/>
        </w:rPr>
      </w:pPr>
    </w:p>
    <w:p w:rsidR="004471B5" w:rsidRDefault="004471B5" w:rsidP="004471B5">
      <w:pPr>
        <w:jc w:val="center"/>
        <w:rPr>
          <w:b/>
          <w:bCs/>
          <w:sz w:val="24"/>
          <w:szCs w:val="24"/>
        </w:rPr>
      </w:pPr>
      <w:bookmarkStart w:id="0" w:name="_GoBack"/>
      <w:r w:rsidRPr="00877035">
        <w:rPr>
          <w:b/>
          <w:bCs/>
          <w:sz w:val="24"/>
          <w:szCs w:val="24"/>
        </w:rPr>
        <w:t xml:space="preserve">Request for Proposal Number </w:t>
      </w:r>
      <w:r>
        <w:rPr>
          <w:b/>
          <w:bCs/>
          <w:sz w:val="24"/>
          <w:szCs w:val="24"/>
        </w:rPr>
        <w:t>111124 O3</w:t>
      </w:r>
    </w:p>
    <w:bookmarkEnd w:id="0"/>
    <w:p w:rsidR="004471B5" w:rsidRDefault="004471B5" w:rsidP="004471B5">
      <w:pPr>
        <w:ind w:left="2880"/>
        <w:rPr>
          <w:b/>
          <w:bCs/>
          <w:sz w:val="24"/>
          <w:szCs w:val="24"/>
        </w:rPr>
      </w:pPr>
    </w:p>
    <w:p w:rsidR="004471B5" w:rsidRDefault="004471B5" w:rsidP="004471B5">
      <w:pPr>
        <w:pStyle w:val="Level2Body"/>
        <w:ind w:left="0"/>
      </w:pPr>
      <w:r w:rsidRPr="00294BEB">
        <w:t xml:space="preserve">Contractor shall complete Appendix 2 for all waste streams in Appendix 1 (the first line is filled out as an example ONLY).  Prices given shall be inclusive of all costs associated with providing the Covered Services, including without limitation, permits, labor, </w:t>
      </w:r>
      <w:r>
        <w:t xml:space="preserve">transportation, </w:t>
      </w:r>
      <w:r w:rsidRPr="00294BEB">
        <w:t xml:space="preserve">materials (drums, containers, labels, manifests, etc.) equipment, administrative or overhead costs, </w:t>
      </w:r>
      <w:r>
        <w:t xml:space="preserve">fuel surcharge, </w:t>
      </w:r>
      <w:r w:rsidRPr="00294BEB">
        <w:t>insurance, taxes and profit, unless otherwise specified herein.  No extraneous fees (i.e., mobilization, per diem, demurrage, etc.) are allowed under this Contract.</w:t>
      </w:r>
      <w:r>
        <w:t xml:space="preserve"> </w:t>
      </w:r>
      <w:r w:rsidRPr="004E7749">
        <w:t>N</w:t>
      </w:r>
      <w:r>
        <w:t xml:space="preserve">ebraska </w:t>
      </w:r>
      <w:r w:rsidRPr="004E7749">
        <w:t>P</w:t>
      </w:r>
      <w:r>
        <w:t xml:space="preserve">ublic </w:t>
      </w:r>
      <w:r w:rsidRPr="004E7749">
        <w:t>H</w:t>
      </w:r>
      <w:r>
        <w:t xml:space="preserve">ealth </w:t>
      </w:r>
      <w:r w:rsidRPr="004E7749">
        <w:t>E</w:t>
      </w:r>
      <w:r>
        <w:t>nvironmental Lab (NPHEL)</w:t>
      </w:r>
      <w:r w:rsidRPr="004E7749">
        <w:t xml:space="preserve"> reserves the right to add additional waste materials for disposal such as broken thermometers, hood filters, non-select agent biological waste,</w:t>
      </w:r>
      <w:r>
        <w:t xml:space="preserve"> and non-standard chemical waste.</w:t>
      </w:r>
    </w:p>
    <w:p w:rsidR="004471B5" w:rsidRDefault="004471B5" w:rsidP="004471B5">
      <w:pPr>
        <w:ind w:left="2880"/>
        <w:rPr>
          <w:b/>
          <w:bCs/>
          <w:sz w:val="24"/>
          <w:szCs w:val="24"/>
        </w:rPr>
      </w:pPr>
    </w:p>
    <w:p w:rsidR="004471B5" w:rsidRDefault="004471B5" w:rsidP="004471B5">
      <w:pPr>
        <w:ind w:left="2880"/>
        <w:rPr>
          <w:b/>
          <w:bCs/>
          <w:sz w:val="24"/>
          <w:szCs w:val="24"/>
        </w:rPr>
      </w:pPr>
    </w:p>
    <w:p w:rsidR="004471B5" w:rsidRPr="00877035" w:rsidRDefault="004471B5" w:rsidP="004471B5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BIDDER NAME</w:t>
      </w:r>
      <w:proofErr w:type="gramStart"/>
      <w:r>
        <w:rPr>
          <w:b/>
          <w:bCs/>
          <w:sz w:val="24"/>
          <w:szCs w:val="24"/>
        </w:rPr>
        <w:t>:_</w:t>
      </w:r>
      <w:proofErr w:type="gramEnd"/>
      <w:r>
        <w:rPr>
          <w:b/>
          <w:bCs/>
          <w:sz w:val="24"/>
          <w:szCs w:val="24"/>
        </w:rPr>
        <w:t>________________________________________________________</w:t>
      </w:r>
      <w:r>
        <w:rPr>
          <w:b/>
          <w:bCs/>
          <w:sz w:val="24"/>
          <w:szCs w:val="24"/>
        </w:rPr>
        <w:t>_______</w:t>
      </w:r>
    </w:p>
    <w:p w:rsidR="004471B5" w:rsidRPr="003C6243" w:rsidRDefault="004471B5" w:rsidP="004471B5">
      <w:pPr>
        <w:jc w:val="center"/>
      </w:pPr>
    </w:p>
    <w:tbl>
      <w:tblPr>
        <w:tblpPr w:leftFromText="180" w:rightFromText="180" w:vertAnchor="text" w:horzAnchor="margin" w:tblpXSpec="center" w:tblpY="157"/>
        <w:tblW w:w="10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3852"/>
        <w:gridCol w:w="170"/>
        <w:gridCol w:w="1893"/>
        <w:gridCol w:w="7"/>
        <w:gridCol w:w="1476"/>
        <w:gridCol w:w="44"/>
        <w:gridCol w:w="1353"/>
        <w:gridCol w:w="10"/>
        <w:gridCol w:w="2057"/>
        <w:gridCol w:w="46"/>
      </w:tblGrid>
      <w:tr w:rsidR="004471B5" w:rsidRPr="003C6243" w:rsidTr="004471B5">
        <w:trPr>
          <w:gridBefore w:val="1"/>
          <w:wBefore w:w="10" w:type="dxa"/>
          <w:trHeight w:val="618"/>
        </w:trPr>
        <w:tc>
          <w:tcPr>
            <w:tcW w:w="3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71B5" w:rsidRPr="003C6243" w:rsidRDefault="004471B5" w:rsidP="00DF172C">
            <w:pPr>
              <w:jc w:val="center"/>
              <w:rPr>
                <w:b/>
              </w:rPr>
            </w:pPr>
            <w:r w:rsidRPr="003C6243">
              <w:rPr>
                <w:b/>
              </w:rPr>
              <w:t>Waste Stream Name</w:t>
            </w:r>
          </w:p>
        </w:tc>
        <w:tc>
          <w:tcPr>
            <w:tcW w:w="20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71B5" w:rsidRPr="003C6243" w:rsidRDefault="004471B5" w:rsidP="00DF172C">
            <w:pPr>
              <w:jc w:val="center"/>
              <w:rPr>
                <w:b/>
              </w:rPr>
            </w:pPr>
            <w:r w:rsidRPr="003C6243">
              <w:rPr>
                <w:b/>
              </w:rPr>
              <w:t>EPA Waste Codes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71B5" w:rsidRPr="003C6243" w:rsidRDefault="004471B5" w:rsidP="00DF172C">
            <w:pPr>
              <w:jc w:val="center"/>
              <w:rPr>
                <w:b/>
              </w:rPr>
            </w:pPr>
            <w:r w:rsidRPr="003C6243">
              <w:rPr>
                <w:b/>
              </w:rPr>
              <w:t>Container Size</w:t>
            </w:r>
          </w:p>
        </w:tc>
        <w:tc>
          <w:tcPr>
            <w:tcW w:w="14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71B5" w:rsidRPr="003C6243" w:rsidRDefault="004471B5" w:rsidP="00DF172C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Estimated number </w:t>
            </w:r>
            <w:r w:rsidRPr="003C6243">
              <w:rPr>
                <w:b/>
              </w:rPr>
              <w:t xml:space="preserve"> of containers</w:t>
            </w:r>
          </w:p>
        </w:tc>
        <w:tc>
          <w:tcPr>
            <w:tcW w:w="21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71B5" w:rsidRDefault="004471B5" w:rsidP="00DF172C">
            <w:pPr>
              <w:jc w:val="center"/>
              <w:rPr>
                <w:b/>
              </w:rPr>
            </w:pPr>
            <w:r w:rsidRPr="003C6243">
              <w:rPr>
                <w:b/>
              </w:rPr>
              <w:t>Unit Cost</w:t>
            </w:r>
          </w:p>
          <w:p w:rsidR="004471B5" w:rsidRPr="003C6243" w:rsidRDefault="004471B5" w:rsidP="00DF172C">
            <w:pPr>
              <w:jc w:val="center"/>
              <w:rPr>
                <w:b/>
              </w:rPr>
            </w:pPr>
            <w:r>
              <w:rPr>
                <w:b/>
              </w:rPr>
              <w:t>(cost per container)</w:t>
            </w:r>
          </w:p>
        </w:tc>
      </w:tr>
      <w:tr w:rsidR="004471B5" w:rsidRPr="00877035" w:rsidTr="004471B5">
        <w:trPr>
          <w:gridBefore w:val="1"/>
          <w:wBefore w:w="10" w:type="dxa"/>
          <w:trHeight w:val="948"/>
        </w:trPr>
        <w:tc>
          <w:tcPr>
            <w:tcW w:w="3852" w:type="dxa"/>
            <w:tcBorders>
              <w:top w:val="double" w:sz="4" w:space="0" w:color="auto"/>
            </w:tcBorders>
            <w:shd w:val="clear" w:color="auto" w:fill="D9D9D9"/>
          </w:tcPr>
          <w:p w:rsidR="004471B5" w:rsidRPr="00877035" w:rsidRDefault="004471B5" w:rsidP="00DF172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77035">
              <w:rPr>
                <w:rFonts w:cs="Arial"/>
                <w:b/>
                <w:bCs/>
                <w:sz w:val="20"/>
                <w:szCs w:val="20"/>
              </w:rPr>
              <w:t>Example:</w:t>
            </w:r>
          </w:p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Sulfate Waste Stream</w:t>
            </w:r>
          </w:p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Example line only</w:t>
            </w:r>
          </w:p>
        </w:tc>
        <w:tc>
          <w:tcPr>
            <w:tcW w:w="2070" w:type="dxa"/>
            <w:gridSpan w:val="3"/>
            <w:tcBorders>
              <w:top w:val="double" w:sz="4" w:space="0" w:color="auto"/>
            </w:tcBorders>
            <w:shd w:val="clear" w:color="auto" w:fill="D9D9D9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D002, D005</w:t>
            </w:r>
          </w:p>
        </w:tc>
        <w:tc>
          <w:tcPr>
            <w:tcW w:w="1476" w:type="dxa"/>
            <w:tcBorders>
              <w:top w:val="double" w:sz="4" w:space="0" w:color="auto"/>
            </w:tcBorders>
            <w:shd w:val="clear" w:color="auto" w:fill="D9D9D9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3.5 gallon</w:t>
            </w:r>
          </w:p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tcBorders>
              <w:top w:val="double" w:sz="4" w:space="0" w:color="auto"/>
            </w:tcBorders>
            <w:shd w:val="clear" w:color="auto" w:fill="D9D9D9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103" w:type="dxa"/>
            <w:gridSpan w:val="2"/>
            <w:tcBorders>
              <w:top w:val="double" w:sz="4" w:space="0" w:color="auto"/>
            </w:tcBorders>
            <w:shd w:val="clear" w:color="auto" w:fill="D9D9D9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$35</w:t>
            </w:r>
          </w:p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471B5" w:rsidRPr="00877035" w:rsidTr="004471B5">
        <w:trPr>
          <w:gridBefore w:val="1"/>
          <w:wBefore w:w="10" w:type="dxa"/>
          <w:trHeight w:val="707"/>
        </w:trPr>
        <w:tc>
          <w:tcPr>
            <w:tcW w:w="3852" w:type="dxa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Ammonia waste stream</w:t>
            </w:r>
          </w:p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(Estimated annual usage at 20 gallons)</w:t>
            </w:r>
          </w:p>
        </w:tc>
        <w:tc>
          <w:tcPr>
            <w:tcW w:w="2070" w:type="dxa"/>
            <w:gridSpan w:val="3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D002, D038, U188</w:t>
            </w:r>
          </w:p>
        </w:tc>
        <w:tc>
          <w:tcPr>
            <w:tcW w:w="1476" w:type="dxa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3.5 gallon</w:t>
            </w:r>
          </w:p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03" w:type="dxa"/>
            <w:gridSpan w:val="2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471B5" w:rsidRPr="00877035" w:rsidTr="004471B5">
        <w:trPr>
          <w:gridBefore w:val="1"/>
          <w:wBefore w:w="10" w:type="dxa"/>
          <w:trHeight w:val="977"/>
        </w:trPr>
        <w:tc>
          <w:tcPr>
            <w:tcW w:w="3852" w:type="dxa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Cyanide QC &amp; Standards (waste cyanide solutions. N.O.S 6.1 PGII</w:t>
            </w:r>
          </w:p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(Estimated annual usage at 3 gallons)</w:t>
            </w:r>
          </w:p>
        </w:tc>
        <w:tc>
          <w:tcPr>
            <w:tcW w:w="2070" w:type="dxa"/>
            <w:gridSpan w:val="3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D002, D003</w:t>
            </w:r>
          </w:p>
        </w:tc>
        <w:tc>
          <w:tcPr>
            <w:tcW w:w="1476" w:type="dxa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3.5 gallon</w:t>
            </w:r>
          </w:p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03" w:type="dxa"/>
            <w:gridSpan w:val="2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471B5" w:rsidRPr="00877035" w:rsidTr="004471B5">
        <w:trPr>
          <w:gridBefore w:val="1"/>
          <w:wBefore w:w="10" w:type="dxa"/>
          <w:trHeight w:val="797"/>
        </w:trPr>
        <w:tc>
          <w:tcPr>
            <w:tcW w:w="3852" w:type="dxa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TKN/TPO4/Cl- waste stream</w:t>
            </w:r>
          </w:p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(Estimated annual usage at 50 gallons)</w:t>
            </w:r>
          </w:p>
        </w:tc>
        <w:tc>
          <w:tcPr>
            <w:tcW w:w="2070" w:type="dxa"/>
            <w:gridSpan w:val="3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D002, D009</w:t>
            </w:r>
          </w:p>
        </w:tc>
        <w:tc>
          <w:tcPr>
            <w:tcW w:w="1476" w:type="dxa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3.5 gallon</w:t>
            </w:r>
          </w:p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103" w:type="dxa"/>
            <w:gridSpan w:val="2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471B5" w:rsidRPr="00877035" w:rsidTr="004471B5">
        <w:trPr>
          <w:gridBefore w:val="1"/>
          <w:wBefore w:w="10" w:type="dxa"/>
          <w:trHeight w:val="797"/>
        </w:trPr>
        <w:tc>
          <w:tcPr>
            <w:tcW w:w="3852" w:type="dxa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Sulfate waste stream</w:t>
            </w:r>
          </w:p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(Estimated annual usage at 35 gallons)</w:t>
            </w:r>
          </w:p>
        </w:tc>
        <w:tc>
          <w:tcPr>
            <w:tcW w:w="2070" w:type="dxa"/>
            <w:gridSpan w:val="3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D002, D005</w:t>
            </w:r>
          </w:p>
        </w:tc>
        <w:tc>
          <w:tcPr>
            <w:tcW w:w="1476" w:type="dxa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3.5 gallon</w:t>
            </w:r>
          </w:p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2103" w:type="dxa"/>
            <w:gridSpan w:val="2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471B5" w:rsidRPr="00877035" w:rsidTr="004471B5">
        <w:trPr>
          <w:gridBefore w:val="1"/>
          <w:wBefore w:w="10" w:type="dxa"/>
          <w:trHeight w:val="1265"/>
        </w:trPr>
        <w:tc>
          <w:tcPr>
            <w:tcW w:w="3852" w:type="dxa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 xml:space="preserve">Heavy metals waste stream (&lt;1000ppm in 2% HNO3) </w:t>
            </w:r>
            <w:proofErr w:type="spellStart"/>
            <w:r w:rsidRPr="00877035">
              <w:rPr>
                <w:rFonts w:cs="Arial"/>
                <w:sz w:val="20"/>
                <w:szCs w:val="20"/>
              </w:rPr>
              <w:t>Al,Sb,Ag,As,Ba,Be,Bi,Cd,Cr,Co,Cu,Ge,In,Pb,Li,Mn,Mo,Ni,Sc,Se</w:t>
            </w:r>
            <w:proofErr w:type="spellEnd"/>
            <w:r w:rsidRPr="00877035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877035">
              <w:rPr>
                <w:rFonts w:cs="Arial"/>
                <w:sz w:val="20"/>
                <w:szCs w:val="20"/>
              </w:rPr>
              <w:t>Tb,Tl,V,Y,U,Zn</w:t>
            </w:r>
            <w:proofErr w:type="spellEnd"/>
          </w:p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(Estimated annual usage at 5 gallons)</w:t>
            </w:r>
          </w:p>
        </w:tc>
        <w:tc>
          <w:tcPr>
            <w:tcW w:w="2070" w:type="dxa"/>
            <w:gridSpan w:val="3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D002, D004, D005, D006, D007, D008</w:t>
            </w:r>
          </w:p>
        </w:tc>
        <w:tc>
          <w:tcPr>
            <w:tcW w:w="1476" w:type="dxa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3.5 gallon</w:t>
            </w:r>
          </w:p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103" w:type="dxa"/>
            <w:gridSpan w:val="2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471B5" w:rsidRPr="00877035" w:rsidTr="004471B5">
        <w:trPr>
          <w:gridAfter w:val="1"/>
          <w:wAfter w:w="46" w:type="dxa"/>
          <w:trHeight w:val="1265"/>
        </w:trPr>
        <w:tc>
          <w:tcPr>
            <w:tcW w:w="4032" w:type="dxa"/>
            <w:gridSpan w:val="3"/>
            <w:tcBorders>
              <w:top w:val="double" w:sz="4" w:space="0" w:color="auto"/>
            </w:tcBorders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Mercury Waste (&lt;1000ppm in 2% HNO3)</w:t>
            </w:r>
          </w:p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(Estimated annual usage at 5 gallons)</w:t>
            </w:r>
          </w:p>
        </w:tc>
        <w:tc>
          <w:tcPr>
            <w:tcW w:w="1893" w:type="dxa"/>
            <w:tcBorders>
              <w:top w:val="double" w:sz="4" w:space="0" w:color="auto"/>
            </w:tcBorders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D002, D009</w:t>
            </w:r>
          </w:p>
        </w:tc>
        <w:tc>
          <w:tcPr>
            <w:tcW w:w="1527" w:type="dxa"/>
            <w:gridSpan w:val="3"/>
            <w:tcBorders>
              <w:top w:val="double" w:sz="4" w:space="0" w:color="auto"/>
            </w:tcBorders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1 gallon glass safety coated</w:t>
            </w:r>
          </w:p>
        </w:tc>
        <w:tc>
          <w:tcPr>
            <w:tcW w:w="1353" w:type="dxa"/>
            <w:tcBorders>
              <w:top w:val="double" w:sz="4" w:space="0" w:color="auto"/>
            </w:tcBorders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067" w:type="dxa"/>
            <w:gridSpan w:val="2"/>
            <w:tcBorders>
              <w:top w:val="double" w:sz="4" w:space="0" w:color="auto"/>
            </w:tcBorders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471B5" w:rsidRPr="00877035" w:rsidTr="004471B5">
        <w:trPr>
          <w:gridAfter w:val="1"/>
          <w:wAfter w:w="46" w:type="dxa"/>
          <w:trHeight w:val="1181"/>
        </w:trPr>
        <w:tc>
          <w:tcPr>
            <w:tcW w:w="4032" w:type="dxa"/>
            <w:gridSpan w:val="3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Liquid scintillation waste (1,2,4-trimethylbenzene)</w:t>
            </w:r>
          </w:p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(Estimated annual usage at 1 gallon)</w:t>
            </w:r>
          </w:p>
        </w:tc>
        <w:tc>
          <w:tcPr>
            <w:tcW w:w="1893" w:type="dxa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27" w:type="dxa"/>
            <w:gridSpan w:val="3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1 gallon glass safety coated</w:t>
            </w:r>
          </w:p>
        </w:tc>
        <w:tc>
          <w:tcPr>
            <w:tcW w:w="1353" w:type="dxa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067" w:type="dxa"/>
            <w:gridSpan w:val="2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471B5" w:rsidRPr="00877035" w:rsidTr="004471B5">
        <w:trPr>
          <w:gridAfter w:val="1"/>
          <w:wAfter w:w="46" w:type="dxa"/>
          <w:trHeight w:val="1265"/>
        </w:trPr>
        <w:tc>
          <w:tcPr>
            <w:tcW w:w="4032" w:type="dxa"/>
            <w:gridSpan w:val="3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lastRenderedPageBreak/>
              <w:t>HPLC methanol waste</w:t>
            </w:r>
          </w:p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(Estimated annual usage at 6 gallons)</w:t>
            </w:r>
          </w:p>
        </w:tc>
        <w:tc>
          <w:tcPr>
            <w:tcW w:w="1893" w:type="dxa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D001, F002, F003</w:t>
            </w:r>
          </w:p>
        </w:tc>
        <w:tc>
          <w:tcPr>
            <w:tcW w:w="1527" w:type="dxa"/>
            <w:gridSpan w:val="3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3.5 gallon</w:t>
            </w:r>
          </w:p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067" w:type="dxa"/>
            <w:gridSpan w:val="2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471B5" w:rsidRPr="00877035" w:rsidTr="004471B5">
        <w:trPr>
          <w:gridAfter w:val="1"/>
          <w:wAfter w:w="46" w:type="dxa"/>
          <w:trHeight w:val="1265"/>
        </w:trPr>
        <w:tc>
          <w:tcPr>
            <w:tcW w:w="4032" w:type="dxa"/>
            <w:gridSpan w:val="3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 xml:space="preserve">Ethyl ether waste (stabilized) with some KOH, </w:t>
            </w:r>
            <w:proofErr w:type="spellStart"/>
            <w:r w:rsidRPr="00877035">
              <w:rPr>
                <w:rFonts w:cs="Arial"/>
                <w:sz w:val="20"/>
                <w:szCs w:val="20"/>
              </w:rPr>
              <w:t>Diazald</w:t>
            </w:r>
            <w:proofErr w:type="spellEnd"/>
            <w:r w:rsidRPr="00877035">
              <w:rPr>
                <w:rFonts w:cs="Arial"/>
                <w:sz w:val="20"/>
                <w:szCs w:val="20"/>
              </w:rPr>
              <w:t xml:space="preserve">, and </w:t>
            </w:r>
            <w:proofErr w:type="spellStart"/>
            <w:r w:rsidRPr="00877035">
              <w:rPr>
                <w:rFonts w:cs="Arial"/>
                <w:sz w:val="20"/>
                <w:szCs w:val="20"/>
              </w:rPr>
              <w:t>Carbitol</w:t>
            </w:r>
            <w:proofErr w:type="spellEnd"/>
          </w:p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(Estimated annual usage at 1 liter)</w:t>
            </w:r>
          </w:p>
        </w:tc>
        <w:tc>
          <w:tcPr>
            <w:tcW w:w="1893" w:type="dxa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27" w:type="dxa"/>
            <w:gridSpan w:val="3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1 gallon glass safety coated</w:t>
            </w:r>
          </w:p>
        </w:tc>
        <w:tc>
          <w:tcPr>
            <w:tcW w:w="1353" w:type="dxa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067" w:type="dxa"/>
            <w:gridSpan w:val="2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471B5" w:rsidRPr="00877035" w:rsidTr="004471B5">
        <w:trPr>
          <w:gridAfter w:val="1"/>
          <w:wAfter w:w="46" w:type="dxa"/>
          <w:trHeight w:val="1265"/>
        </w:trPr>
        <w:tc>
          <w:tcPr>
            <w:tcW w:w="4032" w:type="dxa"/>
            <w:gridSpan w:val="3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 xml:space="preserve">Methyl </w:t>
            </w:r>
            <w:proofErr w:type="spellStart"/>
            <w:r w:rsidRPr="00877035">
              <w:rPr>
                <w:rFonts w:cs="Arial"/>
                <w:sz w:val="20"/>
                <w:szCs w:val="20"/>
              </w:rPr>
              <w:t>tert</w:t>
            </w:r>
            <w:proofErr w:type="spellEnd"/>
            <w:r w:rsidRPr="00877035">
              <w:rPr>
                <w:rFonts w:cs="Arial"/>
                <w:sz w:val="20"/>
                <w:szCs w:val="20"/>
              </w:rPr>
              <w:t xml:space="preserve"> Butyl Ether  waste w/trace amounts of herbicides and </w:t>
            </w:r>
            <w:proofErr w:type="spellStart"/>
            <w:r w:rsidRPr="00877035">
              <w:rPr>
                <w:rFonts w:cs="Arial"/>
                <w:sz w:val="20"/>
                <w:szCs w:val="20"/>
              </w:rPr>
              <w:t>haloacetic</w:t>
            </w:r>
            <w:proofErr w:type="spellEnd"/>
            <w:r w:rsidRPr="00877035">
              <w:rPr>
                <w:rFonts w:cs="Arial"/>
                <w:sz w:val="20"/>
                <w:szCs w:val="20"/>
              </w:rPr>
              <w:t xml:space="preserve"> acids</w:t>
            </w:r>
          </w:p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(Estimated annual usage at 2 liters)</w:t>
            </w:r>
          </w:p>
        </w:tc>
        <w:tc>
          <w:tcPr>
            <w:tcW w:w="1893" w:type="dxa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27" w:type="dxa"/>
            <w:gridSpan w:val="3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1 gallon glass safety coated</w:t>
            </w:r>
          </w:p>
        </w:tc>
        <w:tc>
          <w:tcPr>
            <w:tcW w:w="1353" w:type="dxa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067" w:type="dxa"/>
            <w:gridSpan w:val="2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471B5" w:rsidRPr="00877035" w:rsidTr="004471B5">
        <w:trPr>
          <w:gridAfter w:val="1"/>
          <w:wAfter w:w="46" w:type="dxa"/>
          <w:trHeight w:val="1265"/>
        </w:trPr>
        <w:tc>
          <w:tcPr>
            <w:tcW w:w="4032" w:type="dxa"/>
            <w:gridSpan w:val="3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COD waste stream</w:t>
            </w:r>
          </w:p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(Estimated annual usage at 1 liter)</w:t>
            </w:r>
          </w:p>
        </w:tc>
        <w:tc>
          <w:tcPr>
            <w:tcW w:w="1893" w:type="dxa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D002, D007, D009, D011</w:t>
            </w:r>
          </w:p>
        </w:tc>
        <w:tc>
          <w:tcPr>
            <w:tcW w:w="1527" w:type="dxa"/>
            <w:gridSpan w:val="3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1 gallon glass safety coated</w:t>
            </w:r>
          </w:p>
        </w:tc>
        <w:tc>
          <w:tcPr>
            <w:tcW w:w="1353" w:type="dxa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067" w:type="dxa"/>
            <w:gridSpan w:val="2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471B5" w:rsidRPr="00877035" w:rsidTr="004471B5">
        <w:trPr>
          <w:gridAfter w:val="1"/>
          <w:wAfter w:w="46" w:type="dxa"/>
          <w:trHeight w:val="1265"/>
        </w:trPr>
        <w:tc>
          <w:tcPr>
            <w:tcW w:w="4032" w:type="dxa"/>
            <w:gridSpan w:val="3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 xml:space="preserve">Volatile and semi-volatile standards in ethyl acetate, acetone, methylene chloride, or </w:t>
            </w:r>
            <w:proofErr w:type="spellStart"/>
            <w:r w:rsidRPr="00877035">
              <w:rPr>
                <w:rFonts w:cs="Arial"/>
                <w:sz w:val="20"/>
                <w:szCs w:val="20"/>
              </w:rPr>
              <w:t>MtBE</w:t>
            </w:r>
            <w:proofErr w:type="spellEnd"/>
          </w:p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(Estimated annual usage at (1) 2.5 liter jar filled with glass ampules)</w:t>
            </w:r>
          </w:p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3" w:type="dxa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27" w:type="dxa"/>
            <w:gridSpan w:val="3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3.5 gallon</w:t>
            </w:r>
          </w:p>
        </w:tc>
        <w:tc>
          <w:tcPr>
            <w:tcW w:w="1353" w:type="dxa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067" w:type="dxa"/>
            <w:gridSpan w:val="2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471B5" w:rsidRPr="00877035" w:rsidTr="004471B5">
        <w:trPr>
          <w:gridAfter w:val="1"/>
          <w:wAfter w:w="46" w:type="dxa"/>
          <w:trHeight w:val="1052"/>
        </w:trPr>
        <w:tc>
          <w:tcPr>
            <w:tcW w:w="4032" w:type="dxa"/>
            <w:gridSpan w:val="3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PCB Standard (&lt;50 ppm)</w:t>
            </w:r>
          </w:p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(Estimated annual usage at (1) 2.5 liter jar filled with glass ampules)</w:t>
            </w:r>
          </w:p>
        </w:tc>
        <w:tc>
          <w:tcPr>
            <w:tcW w:w="1893" w:type="dxa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27" w:type="dxa"/>
            <w:gridSpan w:val="3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3.5 gallon</w:t>
            </w:r>
          </w:p>
        </w:tc>
        <w:tc>
          <w:tcPr>
            <w:tcW w:w="1353" w:type="dxa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  <w:r w:rsidRPr="0087703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067" w:type="dxa"/>
            <w:gridSpan w:val="2"/>
          </w:tcPr>
          <w:p w:rsidR="004471B5" w:rsidRPr="00877035" w:rsidRDefault="004471B5" w:rsidP="00DF172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4471B5" w:rsidRPr="00877035" w:rsidRDefault="004471B5" w:rsidP="004471B5">
      <w:pPr>
        <w:rPr>
          <w:rFonts w:cs="Arial"/>
          <w:sz w:val="20"/>
          <w:szCs w:val="20"/>
        </w:rPr>
      </w:pPr>
    </w:p>
    <w:p w:rsidR="004471B5" w:rsidRPr="00877035" w:rsidRDefault="004471B5" w:rsidP="004471B5">
      <w:pPr>
        <w:rPr>
          <w:rFonts w:cs="Arial"/>
          <w:sz w:val="20"/>
          <w:szCs w:val="20"/>
        </w:rPr>
      </w:pPr>
      <w:r w:rsidRPr="00877035">
        <w:rPr>
          <w:rFonts w:cs="Arial"/>
          <w:sz w:val="20"/>
          <w:szCs w:val="20"/>
        </w:rPr>
        <w:t xml:space="preserve">*3.5 gallon containers are EZWASTE UN/DOT containers* </w:t>
      </w:r>
    </w:p>
    <w:p w:rsidR="004471B5" w:rsidRDefault="004471B5" w:rsidP="004471B5"/>
    <w:p w:rsidR="004471B5" w:rsidRPr="004471B5" w:rsidRDefault="004471B5" w:rsidP="004471B5">
      <w:pPr>
        <w:tabs>
          <w:tab w:val="left" w:pos="0"/>
          <w:tab w:val="left" w:pos="180"/>
        </w:tabs>
        <w:rPr>
          <w:rFonts w:cs="Arial"/>
        </w:rPr>
      </w:pPr>
    </w:p>
    <w:p w:rsidR="004471B5" w:rsidRPr="004471B5" w:rsidRDefault="004471B5" w:rsidP="004471B5">
      <w:pPr>
        <w:pStyle w:val="Level1"/>
        <w:numPr>
          <w:ilvl w:val="0"/>
          <w:numId w:val="0"/>
        </w:numPr>
        <w:ind w:left="360" w:hanging="1170"/>
        <w:rPr>
          <w:rFonts w:cs="Arial"/>
        </w:rPr>
      </w:pPr>
      <w:bookmarkStart w:id="1" w:name="_Toc85534269"/>
      <w:bookmarkStart w:id="2" w:name="_Toc98506710"/>
      <w:r w:rsidRPr="004471B5">
        <w:rPr>
          <w:rFonts w:cs="Arial"/>
        </w:rPr>
        <w:t>If bidder is consolidating any of the above waste streams</w:t>
      </w:r>
      <w:r w:rsidRPr="004471B5">
        <w:rPr>
          <w:rFonts w:cs="Arial"/>
        </w:rPr>
        <w:t xml:space="preserve">, quote these combinations on separate </w:t>
      </w:r>
      <w:r w:rsidRPr="004471B5">
        <w:rPr>
          <w:rFonts w:cs="Arial"/>
        </w:rPr>
        <w:t>line.</w:t>
      </w:r>
      <w:bookmarkEnd w:id="1"/>
      <w:bookmarkEnd w:id="2"/>
    </w:p>
    <w:p w:rsidR="00B86D17" w:rsidRDefault="00B86D17"/>
    <w:sectPr w:rsidR="00B86D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1B5" w:rsidRDefault="004471B5" w:rsidP="004471B5">
      <w:r>
        <w:separator/>
      </w:r>
    </w:p>
  </w:endnote>
  <w:endnote w:type="continuationSeparator" w:id="0">
    <w:p w:rsidR="004471B5" w:rsidRDefault="004471B5" w:rsidP="0044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1B5" w:rsidRDefault="004471B5" w:rsidP="004471B5">
      <w:r>
        <w:separator/>
      </w:r>
    </w:p>
  </w:footnote>
  <w:footnote w:type="continuationSeparator" w:id="0">
    <w:p w:rsidR="004471B5" w:rsidRDefault="004471B5" w:rsidP="00447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1B5" w:rsidRPr="004471B5" w:rsidRDefault="004471B5" w:rsidP="004471B5">
    <w:pPr>
      <w:pStyle w:val="Header"/>
      <w:ind w:left="2880"/>
      <w:rPr>
        <w:b/>
      </w:rPr>
    </w:pPr>
    <w:r w:rsidRPr="004471B5">
      <w:rPr>
        <w:b/>
      </w:rPr>
      <w:t xml:space="preserve">Appendix Two Cost Proposal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420F1"/>
    <w:multiLevelType w:val="multilevel"/>
    <w:tmpl w:val="FB5A5AF4"/>
    <w:lvl w:ilvl="0">
      <w:start w:val="1"/>
      <w:numFmt w:val="upperRoman"/>
      <w:pStyle w:val="Level1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3."/>
      <w:lvlJc w:val="left"/>
      <w:pPr>
        <w:tabs>
          <w:tab w:val="num" w:pos="900"/>
        </w:tabs>
        <w:ind w:left="162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B5"/>
    <w:rsid w:val="004471B5"/>
    <w:rsid w:val="00B8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A83D2"/>
  <w15:chartTrackingRefBased/>
  <w15:docId w15:val="{C3DAB65F-A2C8-45FA-AF59-CE47D156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4471B5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71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3">
    <w:name w:val="Level 3"/>
    <w:qFormat/>
    <w:rsid w:val="004471B5"/>
    <w:pPr>
      <w:numPr>
        <w:ilvl w:val="2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  <w:style w:type="paragraph" w:customStyle="1" w:styleId="Level4">
    <w:name w:val="Level 4"/>
    <w:aliases w:val="Indent Text"/>
    <w:qFormat/>
    <w:rsid w:val="004471B5"/>
    <w:pPr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Level6">
    <w:name w:val="Level 6"/>
    <w:basedOn w:val="Normal"/>
    <w:rsid w:val="004471B5"/>
    <w:pPr>
      <w:numPr>
        <w:ilvl w:val="5"/>
        <w:numId w:val="1"/>
      </w:numPr>
    </w:pPr>
    <w:rPr>
      <w:sz w:val="18"/>
    </w:rPr>
  </w:style>
  <w:style w:type="paragraph" w:customStyle="1" w:styleId="Level1">
    <w:name w:val="Level 1"/>
    <w:basedOn w:val="Heading1"/>
    <w:qFormat/>
    <w:rsid w:val="004471B5"/>
    <w:pPr>
      <w:keepNext w:val="0"/>
      <w:keepLines w:val="0"/>
      <w:numPr>
        <w:numId w:val="1"/>
      </w:numPr>
      <w:tabs>
        <w:tab w:val="num" w:pos="360"/>
      </w:tabs>
      <w:spacing w:before="0"/>
      <w:ind w:left="0" w:firstLine="0"/>
      <w:jc w:val="left"/>
    </w:pPr>
    <w:rPr>
      <w:rFonts w:ascii="Arial" w:eastAsia="Times New Roman" w:hAnsi="Arial" w:cs="Times New Roman"/>
      <w:b/>
      <w:bCs/>
      <w:color w:val="auto"/>
      <w:sz w:val="20"/>
      <w:szCs w:val="22"/>
    </w:rPr>
  </w:style>
  <w:style w:type="paragraph" w:customStyle="1" w:styleId="Level7">
    <w:name w:val="Level 7"/>
    <w:basedOn w:val="Normal"/>
    <w:rsid w:val="004471B5"/>
    <w:pPr>
      <w:numPr>
        <w:ilvl w:val="6"/>
        <w:numId w:val="1"/>
      </w:numPr>
    </w:pPr>
  </w:style>
  <w:style w:type="character" w:customStyle="1" w:styleId="Level2BodyChar">
    <w:name w:val="Level 2 Body Char"/>
    <w:link w:val="Level2Body"/>
    <w:rsid w:val="004471B5"/>
    <w:rPr>
      <w:rFonts w:ascii="Arial" w:hAnsi="Arial"/>
      <w:color w:val="000000"/>
      <w:sz w:val="18"/>
      <w:szCs w:val="24"/>
    </w:rPr>
  </w:style>
  <w:style w:type="paragraph" w:customStyle="1" w:styleId="Level2Body">
    <w:name w:val="Level 2 Body"/>
    <w:basedOn w:val="Normal"/>
    <w:link w:val="Level2BodyChar"/>
    <w:rsid w:val="004471B5"/>
    <w:pPr>
      <w:ind w:left="720"/>
    </w:pPr>
    <w:rPr>
      <w:rFonts w:eastAsiaTheme="minorHAnsi" w:cstheme="minorBidi"/>
      <w:color w:val="000000"/>
      <w:sz w:val="1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71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471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1B5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4471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1B5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Olson</dc:creator>
  <cp:keywords/>
  <dc:description/>
  <cp:lastModifiedBy>Carrie Olson</cp:lastModifiedBy>
  <cp:revision>1</cp:revision>
  <dcterms:created xsi:type="dcterms:W3CDTF">2022-03-18T19:59:00Z</dcterms:created>
  <dcterms:modified xsi:type="dcterms:W3CDTF">2022-03-18T20:15:00Z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-1854197070</vt:i4>
  </property>
  <property fmtid="{D5CDD505-2E9C-101B-9397-08002B2CF9AE}" pid="3" name="_NewReviewCycle">
    <vt:lpwstr/>
  </property>
  <property fmtid="{D5CDD505-2E9C-101B-9397-08002B2CF9AE}" pid="4" name="_EmailSubject">
    <vt:lpwstr>Please post this RFP and Attachments on Wednesday, March 23, 2022</vt:lpwstr>
  </property>
  <property fmtid="{D5CDD505-2E9C-101B-9397-08002B2CF9AE}" pid="5" name="_AuthorEmail">
    <vt:lpwstr>Rene.Botts@nebraska.gov</vt:lpwstr>
  </property>
  <property fmtid="{D5CDD505-2E9C-101B-9397-08002B2CF9AE}" pid="6" name="_AuthorEmailDisplayName">
    <vt:lpwstr>Botts, Rene</vt:lpwstr>
  </property>
</Properties>
</file>